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Practitioner: Advanced Scrum Master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AGL-164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course examines some of the more challenging Agile topics facing teams and servant leaders in today’s business landscape. Discussion and lab work will include relevant leadership theories and practical application, organizational and team dynamics as well as pragmatic approaches to keeping Scrum practices fresh and relevant through the process of continuous improvement. Participants will take their Scrum Master skills to the next level while developing potential solutions to the challenges that their teams are facing with like-minded individuals in this highly interactive workshop.</w:t>
      </w:r>
    </w:p>
    <w:p w:rsidR="00A77B3E">
      <w:pPr>
        <w:keepNext w:val="0"/>
        <w:spacing w:before="0" w:after="0"/>
        <w:rPr>
          <w:rFonts w:ascii="Verdana" w:eastAsia="Verdana" w:hAnsi="Verdana" w:cs="Verdana"/>
          <w:b w:val="0"/>
          <w:sz w:val="20"/>
        </w:rPr>
      </w:pPr>
      <w:r>
        <w:rPr>
          <w:rFonts w:ascii="Verdana" w:eastAsia="Verdana" w:hAnsi="Verdana" w:cs="Verdana"/>
          <w:b w:val="0"/>
          <w:sz w:val="20"/>
        </w:rPr>
        <w:t>To ensure relevant and profitable learning occurs, attendees will kick off this course by brainstorming many of the real-world issues they face daily as members of an Agile organization. The course then explores a multitude of topics surrounding the Scrum Master role, allowing ample time to discuss potential solutions for the mentioned challenges and areas of concern. The course concludes with a retrospective, providing the next steps servant leaders need to guide their teams to higher levels of performance.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Students should have taken Accelebrate's </w:t>
      </w:r>
      <w:hyperlink r:id="rId5" w:history="1">
        <w:r>
          <w:rPr>
            <w:rFonts w:ascii="Verdana" w:eastAsia="Verdana" w:hAnsi="Verdana" w:cs="Verdana"/>
            <w:b w:val="0"/>
            <w:sz w:val="20"/>
          </w:rPr>
          <w:t>Agile Practitioner course</w:t>
        </w:r>
      </w:hyperlink>
      <w:r>
        <w:rPr>
          <w:rFonts w:ascii="Verdana" w:eastAsia="Verdana" w:hAnsi="Verdana" w:cs="Verdana"/>
          <w:b w:val="0"/>
          <w:sz w:val="20"/>
        </w:rPr>
        <w:t xml:space="preserve"> or have the equivalent experience. A minimum of six months’ experience working on an Agile team is suggested.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more effectively and efficiently find and remove problems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tools and techniques to help guide teams to higher levels of performance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and examine potential solutions to your greatest challenges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methods to motivate your team, keeping them fresh sprint after sprint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manage thorny communications issues, conflict, and more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Examine how to encourage and integrate value-driven practices throughout the organization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Individual and Team Challenges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Agile Principles Debate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Communications, Facilitation, and Conflict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Facilitation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Conflict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Self-Organizing and High-Performing Teams – What Do They Really Mean?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Self-Organizing Characteristics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Drive Self-Organizing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Tuning to High 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Crash Self-Organization and High 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Growing New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External Contractors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Assessing Team Health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Metrics – What Do They Mean?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Maturity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to The Truth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Architecting the Team Approach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Past Results – Future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Turning the Team Loose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Accountability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Product Backlog – Common Problems and Fixes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Problems – Potential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Coaching the Product Owner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Coaching the Team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 Planning – Getting It Right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Problems – Potential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 Prepared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Facilitating the Sprint Planning Meeting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Sprint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Coordinating with a Waterfall Team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Effective Retrospectives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Flat Retrospectives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More out of Retrospectives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Improvement Backlog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Following Through and Developing Momentum for Success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Lean Thinking and Development Process Improvement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Thinking Lean to Eliminate Waste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Opportunities to Eliminate Rework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Driving Organizational Transformation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Cultural Transformation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Change Management – Project Minded Agile Transformation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Developing Your Coaching Skills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Coaching Styles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Climbing the Shu-Ha-Ri Ladder of Attainment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Practicing Servant Leadership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Final Retrospective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Next Few Steps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Down the Road</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agile-practitioner"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