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Cybersecurity Architect (SC-100)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MOC-SC-100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Microsoft Cybersecurity Architect training, MS official course SC-100, teaches students how to design and evaluate cybersecurity strategies in Zero Trust, Governance Risk Compliance (GRC), security operations (SecOps), and data and applications. Students also learn how to design and architect solutions using zero trust principles and how to specify security requirements for cloud infrastructure in different service models (SaaS, PaaS, IaaS). This course prepares students for the </w:t>
      </w:r>
      <w:hyperlink r:id="rId5" w:tgtFrame="_blank" w:history="1">
        <w:r>
          <w:rPr>
            <w:rFonts w:ascii="Verdana" w:eastAsia="Verdana" w:hAnsi="Verdana" w:cs="Verdana"/>
            <w:b w:val="0"/>
            <w:sz w:val="20"/>
          </w:rPr>
          <w:t>SC-100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Advanced experience and knowledge in identity and access, platform protection, security operations, securing data, and securing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Experience with hybrid and cloud implementations.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Although not required to attend, students are strongly encouraged to have taken and passed another associate-level certification in the security, compliance, and identity portfolio (such as </w:t>
      </w:r>
      <w:hyperlink r:id="rId6" w:history="1">
        <w:r>
          <w:rPr>
            <w:rFonts w:ascii="Verdana" w:eastAsia="Verdana" w:hAnsi="Verdana" w:cs="Verdana"/>
            <w:b w:val="0"/>
            <w:sz w:val="20"/>
          </w:rPr>
          <w:t>AZ-500</w:t>
        </w:r>
      </w:hyperlink>
      <w:r>
        <w:rPr>
          <w:rFonts w:ascii="Verdana" w:eastAsia="Verdana" w:hAnsi="Verdana" w:cs="Verdana"/>
          <w:b w:val="0"/>
          <w:sz w:val="20"/>
        </w:rPr>
        <w:t xml:space="preserve">, </w:t>
      </w:r>
      <w:hyperlink r:id="rId7" w:history="1">
        <w:r>
          <w:rPr>
            <w:rFonts w:ascii="Verdana" w:eastAsia="Verdana" w:hAnsi="Verdana" w:cs="Verdana"/>
            <w:b w:val="0"/>
            <w:sz w:val="20"/>
          </w:rPr>
          <w:t>SC-200</w:t>
        </w:r>
      </w:hyperlink>
      <w:r>
        <w:rPr>
          <w:rFonts w:ascii="Verdana" w:eastAsia="Verdana" w:hAnsi="Verdana" w:cs="Verdana"/>
          <w:b w:val="0"/>
          <w:sz w:val="20"/>
        </w:rPr>
        <w:t xml:space="preserve">, or </w:t>
      </w:r>
      <w:hyperlink r:id="rId8" w:history="1">
        <w:r>
          <w:rPr>
            <w:rFonts w:ascii="Verdana" w:eastAsia="Verdana" w:hAnsi="Verdana" w:cs="Verdana"/>
            <w:b w:val="0"/>
            <w:sz w:val="20"/>
          </w:rPr>
          <w:t>SC-300</w:t>
        </w:r>
      </w:hyperlink>
      <w:r>
        <w:rPr>
          <w:rFonts w:ascii="Verdana" w:eastAsia="Verdana" w:hAnsi="Verdana" w:cs="Verdana"/>
          <w:b w:val="0"/>
          <w:sz w:val="20"/>
        </w:rPr>
        <w:t>) before attending this class.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evaluate cybersecurity strategies in Zero Trust, Governance Risk Compliance (GRC), security operations (SecOps)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architect solutions using zero-trust principles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Specify security requirements for cloud infrastructure in different service models (SaaS, PaaS, IaaS)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 an overall security strategy and architecture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security operations strategy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 identity security strategy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Evaluate a regulatory compliance strategy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Evaluate security posture and recommend technical strategies to manage risk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architecture best practices and how they are changing with the Cloud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strategy for securing server and client endpoints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strategy for securing PaaS, IaaS, and SaaS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Specify security requirements for applications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strategy for securing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Recommend security best practices using Microsoft Cybersecurity Reference Architectures (MCRA) and Microsoft Cloud Security Benchmarks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Recommend a secure methodology using the Cloud Adoption Framework (CAF)</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Recommend a ransomware strategy by using Microsoft Security Best Practices</w:t>
      </w:r>
    </w:p>
    <w:p w:rsidR="00A77B3E">
      <w:pPr>
        <w:keepNext w:val="0"/>
        <w:spacing w:before="200" w:after="200"/>
        <w:rPr>
          <w:rFonts w:ascii="Verdana" w:eastAsia="Verdana" w:hAnsi="Verdana" w:cs="Verdana"/>
          <w:b w:val="0"/>
          <w:sz w:val="20"/>
        </w:rPr>
      </w:pPr>
    </w:p>
    <w:sectPr>
      <w:footerReference w:type="default" r:id="rId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SC-100" TargetMode="External" /><Relationship Id="rId6" Type="http://schemas.openxmlformats.org/officeDocument/2006/relationships/hyperlink" Target="file:////training/microsoft-azure-security-technologies" TargetMode="External" /><Relationship Id="rId7" Type="http://schemas.openxmlformats.org/officeDocument/2006/relationships/hyperlink" Target="file:////training/sc-200-microsoft-security-operations-analyst" TargetMode="External" /><Relationship Id="rId8" Type="http://schemas.openxmlformats.org/officeDocument/2006/relationships/hyperlink" Target="file:////training/sc-300-microsoft-identity-and-access-administrator"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