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Salesforce Reports and Dashboards in Lightning Experience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SF-118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Salesforce</w:t>
      </w:r>
      <w:r>
        <w:rPr>
          <w:rFonts w:ascii="Verdana" w:eastAsia="Verdana" w:hAnsi="Verdana" w:cs="Verdana"/>
          <w:b w:val="0"/>
          <w:sz w:val="20"/>
          <w:vertAlign w:val="superscript"/>
        </w:rPr>
        <w:t>®</w:t>
      </w:r>
      <w:r>
        <w:rPr>
          <w:rFonts w:ascii="Verdana" w:eastAsia="Verdana" w:hAnsi="Verdana" w:cs="Verdana"/>
          <w:b w:val="0"/>
          <w:sz w:val="20"/>
        </w:rPr>
        <w:t xml:space="preserve"> Reports and Dashboards in Lightning Experience training course teaches administrators, business analysts, and report writers how to get the most out of the basic and advanced analytic capabilities of the Salesforce Lightning Report Builder. Students learn the Salesforce object model and how to create and secure reports and dashboards.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Salesforce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Salesforce is web-based and attendees only need an Internet connection and modern web browser for training. Salesforce recommends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tabular, summary, matrix, and join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reporting functionality including charting, report summary fields, bucket fields, conditional highlighting, advanced report filters, and custom report types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dashboards and schedule and email reports and dashboards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Introduction/Login to Training Orgs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Overview of Salesforce Object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Report 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Tabular/Summary/Matrix/Join Reports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Reports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Filtering/Charts/Bucket Fields/Report Summary Fields/Conditional Highlighting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 Report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Dashboards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Report and Dashboard Scheduling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