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Implement Retention, eDiscovery, and Communication Compliance in Microsoft Purview (SC-5007)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MOC-SC-5007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Microsoft Course SC-5007 teaches attendees how to manage data lifecycle, records management, eDiscovery, and communication compliance with Microsoft Purview.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understanding of data governance and compliance concepts.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Familiarity with Microsoft Purview and its interface.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Knowledge of data lifecycle management principles.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with eDiscovery processes.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Awareness of communication compliance requirements.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 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Microsoft Purview provides tools to manage data retention and records, ensuring compliance through policies, labels, event-based retention, adaptive and static scopes, and disposition reviews.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Microsoft Purview eDiscovery (Premium) to preserve, collect, analyze, review, and export content that's responsive to an organization's internal and external investigations, and communicate with custodians involved in a case.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Address code-of-conduct policy violations in company communications while also assisting organizations in regulated industries to meet specific supervisory compliance requirements.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data compliance and governance using Microsoft Purview, ensuring your organization meets regulatory requirements and manages data effectively.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Implement and manage retention with Microsoft Purview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retention with Microsoft Purview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configure retention policies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configure adaptive scopes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publish retention labels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retention labels across Microsoft 365 services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event-based retention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manage auto-apply retention labels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Declare records by using retention labels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Conduct disposition reviews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Manage Microsoft Purview eDiscovery (Premium)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Microsoft Purview eDiscovery (Premium)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Microsoft Purview eDiscovery (Premium)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manage an eDiscovery (Premium) case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custodians and non-custodial data sources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Collect content for a case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and manage case content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case content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Prepare Microsoft Purview Communication Compliance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communication compliance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Plan for communication compliance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and resolve communication compliance workflow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communication compliance policies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Communication compliance with Copilot for Microsoft 365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Implement retention, eDiscovery, and Communication compliance in Microsoft Purview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retention policies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publish retention labels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communication compliance policy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