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Intermediate Oracle Application Express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ORC-392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Intermediate Oracle Application Express (APEX) training teaches attendees how to control behavior among the many different APEX components such as charts, reports, and maps. Students learn how to quickly set up departmental wiki pages using web sheets, as well as integrate team development features to help improve overall application quality assurance.</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Apex class is taught using the latest version, however, earlier versions may be used upon request.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have taken Accelebrate's </w:t>
      </w:r>
      <w:hyperlink r:id="rId5" w:history="1">
        <w:r>
          <w:rPr>
            <w:rFonts w:ascii="Verdana" w:eastAsia="Verdana" w:hAnsi="Verdana" w:cs="Verdana"/>
            <w:b w:val="0"/>
            <w:sz w:val="20"/>
          </w:rPr>
          <w:t>Introduction to Oracle APEX Training</w:t>
        </w:r>
      </w:hyperlink>
      <w:r>
        <w:rPr>
          <w:rFonts w:ascii="Verdana" w:eastAsia="Verdana" w:hAnsi="Verdana" w:cs="Verdana"/>
          <w:b w:val="0"/>
          <w:sz w:val="20"/>
        </w:rPr>
        <w:t xml:space="preserve"> or have the equivalent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APEX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Oracle Application Express 5, 2018,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Each student computer will need a web browser and Oracle SQL Developer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Please contact us for detailed setup instructions if you have purchased this class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APEX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navigation interfaces with tabs, lists, and/or breadcrumbs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Refine the layout of your regions and items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reports, charts, and tabular forms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custom themes and templates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plugins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dynamic actions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Preserve session state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LDAP authentication and prevent SQL injection and cross-site scripting attacks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APEX Best Practices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the install for easier backups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developers and user accounts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Preventing URL tampering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External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to Make Development Easier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Developing a Standard Application to Copy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Navigation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use Tabs, Lists, and Breadcrumbs to connect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components on the global page (page zero)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Resolve missing Tabs and Breadcrumbs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Region and Item Layout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leverage Grid Layout for Regions and Items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how to change region positions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Modify templates and their different region positions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how page templates work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Reports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Customize report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column templates vs row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generic column vs named column reports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Charts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create and manage pie and bar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edit Gantt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and using Chart plugins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Interactive Grid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Manually Create Tabular Forms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 in Tabular Forms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Collections to enhance tabular forms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Themes and Templates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Custom Themes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Custom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Subscriptions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 a plugin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how a plugin renders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AJAX call and process to update the plugin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Bind to the native API so it works with native dynamic actions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Loading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data upload form for users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CSV and other delimited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 the data upon upload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Validate and reject rows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Dynamic Actions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Refresh items and regions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Invoke PL/SQL processes from browser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Retrieve data from the DB and set items 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Event scope and event delegation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Files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User managed files in the database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Developer files on the webserver (JavaScript, css, and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Upload shared component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Fetch files from a REST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thumbnails to a report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Session State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difference between persisted and in-memory session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row fetch and row processing actually 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some of the features those processes provide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Authentication and Authorization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LDAP and SSO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Virtual Private Database (VPD)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Session State Protection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Preventing SQL Injection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Preventing Cross-Site Scripting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Application Development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oracle-application-express-intro"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