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OneDrive, Teams, and SharePoint Overview</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OFC-113</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OneDrive, Teams, and SharePoint Overview training course teaches attendees how to use MS Teams, SharePoint, and OneDrive together to productively manage and collaborate on documents with colleagues inside and outside their organization.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M365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including OneDrive and MS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Please also provide a login account for Accelebrate’s instructor to access your Microsoft 365 environment (including your SharePoint Online).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If the desktop versions of OneDrive and Teams cannot be installed, we could have students use these tools via the Office.com portal during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create Microsoft 365 Groups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use cases for Teams, SharePoint, and OneDrive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relationship among Teams, SharePoint, and OneDrive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integrate additional collaborative tools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MS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Desktop vs. Online vs. Mobile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 to Office.com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What’s included in your MS 365 Subscription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OneDrive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OneDrive (Desktop vs. Online vs. Mobile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Sharing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Sync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Recycle Bin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Microsoft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Microsoft Teams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Teams Shortcuts and Tricks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Chat and Calls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 Chat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Replying to a Chat Message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Chat Message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Audio or Video Calls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New &amp; Advanced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Teams and Channels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Public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Team (May need to request)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Access to Your Team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Members to Your Team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Channels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Channel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Channel Notifications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Posting Messages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Mentions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Files in a Channel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Files in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OneDrive within Teams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Adding Tabs to a Channel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One Note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Planner (Tasks by Planner)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Channel Calendar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SharePoint Integration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 and navigate the SharePoint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Teams Site vs. SharePoint Site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