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Dynamics 365 for Marketing (MB-220)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MOC-MB-220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Dynamics 365 for Marketing (MB-220) teaches attendees the marketing application configuration needed to drive business growth. Students learn how to manage leads, marketing forms and pages, segmentation, and email marketing messages. All these pieces are tied together through interactive customer journey design, including event and survey configuration. This course prepares students for the </w:t>
      </w:r>
      <w:hyperlink r:id="rId5" w:tgtFrame="_blank" w:history="1">
        <w:r>
          <w:rPr>
            <w:rFonts w:ascii="Verdana" w:eastAsia="Verdana" w:hAnsi="Verdana" w:cs="Verdana"/>
            <w:b w:val="0"/>
            <w:sz w:val="20"/>
          </w:rPr>
          <w:t>MB-220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knowledge of the Dynamics 365 platform and an understanding of basic marketing principles. Power Platform experience, especially in model-driven applications, is also recommended.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Dynamics 365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marketing application configuration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Drive business growth with Dynamics 365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marketing forms and pages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segmentation and email marketing messages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launch customer journeys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Distribute and analyze surveys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manage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Advanced configuration for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Review domain authentication, email best practices, and GDPR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assets and content settings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customers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forms and pages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emails, segments, and journeys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subscription centers and double opt-in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website visits, redirect URLs, and social postings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on-site event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webinar event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Promote events, manage registration and check-ins, and review results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Advanced event management features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marketing initiatives with analytics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marketing calendar in Dynamics 365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MB-22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