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Leading Organizational Change in a Virtual World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ITL-124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Leading Organizational Changing in a Virtual World training course teaches students the skills and techniques needed to facilitate change within their organizations to meet business objectives. Students dive into how to modify existing processes, roll out new systems, drive digital innovations, and more when working from home or other remote working locations.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A condensed version of this class can be delivered as a two-hour, engaging seminar upon request.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key industry change methodologies across a virtual team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ERICA Change Framework to facilitate individual and organization change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Enhance project success through greater change adoption and acceptance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insights on the additional complexities of implementing virtual change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Questions and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change is so hard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change in-person versus virtually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and external drivers of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Myths About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Pettigrew &amp; Whipp’s Typology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Lewin’s 3 Stage Model of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Kotter’s Eight Step Change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Necessary Conditions for Effective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Agents of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Key aspects of persuasive communication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Virtual messaging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Virtual delivery mechanisms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change effectiveness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Deciding to Make Change Happen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Key questions when planning for change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Decision points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Strategic points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Tactical 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Overcoming Resistance to Change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Organizational resistance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Individual resistance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In-person versus virtual tactics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ERICA Change Framework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Environment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Reason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Urgency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Impact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Scope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Remote employee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Resources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Management support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Available funding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Available people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Coordination of virtual workers and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Individuals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Personal Attributes that Facilitate Change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Constructive Monologue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Maximize Your Change Management Attitude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Be the Intrapreneur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Emotional Stages of Change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Engaging and motivating remote workers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Culture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Micro-Culture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Key Factors in Cultural Change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Steps to Change Corporate Culture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Virtual considerations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Plan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Execution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Measurement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