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ITIL Specialist: Drive Stakeholder Value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ITIL-128</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ITIL</w:t>
      </w:r>
      <w:r>
        <w:rPr>
          <w:rFonts w:ascii="Verdana" w:eastAsia="Verdana" w:hAnsi="Verdana" w:cs="Verdana"/>
          <w:b w:val="0"/>
          <w:sz w:val="20"/>
          <w:vertAlign w:val="superscript"/>
        </w:rPr>
        <w:t>®</w:t>
      </w:r>
      <w:r>
        <w:rPr>
          <w:rFonts w:ascii="Verdana" w:eastAsia="Verdana" w:hAnsi="Verdana" w:cs="Verdana"/>
          <w:b w:val="0"/>
          <w:sz w:val="20"/>
        </w:rPr>
        <w:t xml:space="preserve"> Drive Stakeholder Value training course teaches IT professionals how to design customer journeys, create and foster stakeholder relationships, shape demand and define service offerings, onboard and offboard customers and users, create feedback and improvement opportunities, and validate service value and outcomes.</w:t>
      </w:r>
    </w:p>
    <w:p w:rsidR="00A77B3E">
      <w:pPr>
        <w:keepNext w:val="0"/>
        <w:spacing w:before="0" w:after="0"/>
        <w:rPr>
          <w:rFonts w:ascii="Verdana" w:eastAsia="Verdana" w:hAnsi="Verdana" w:cs="Verdana"/>
          <w:b w:val="0"/>
          <w:sz w:val="20"/>
        </w:rPr>
      </w:pPr>
      <w:r>
        <w:rPr>
          <w:rFonts w:ascii="Verdana" w:eastAsia="Verdana" w:hAnsi="Verdana" w:cs="Verdana"/>
          <w:b/>
          <w:bCs/>
          <w:sz w:val="20"/>
        </w:rPr>
        <w:t>ITIL Specialist: Drive Stakeholder Value Exam:</w:t>
      </w:r>
      <w:r>
        <w:rPr>
          <w:rFonts w:ascii="Verdana" w:eastAsia="Verdana" w:hAnsi="Verdana" w:cs="Verdana"/>
          <w:b w:val="0"/>
          <w:sz w:val="20"/>
        </w:rPr>
        <w:t xml:space="preserve"> A voucher for a 90-minute, 40 question examination for each student is included with this class. If desired at an additional cost, an independent exam proctor can be arranged for your team at the end of the course.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must have taken </w:t>
      </w:r>
      <w:hyperlink r:id="rId5" w:history="1">
        <w:r>
          <w:rPr>
            <w:rFonts w:ascii="Verdana" w:eastAsia="Verdana" w:hAnsi="Verdana" w:cs="Verdana"/>
            <w:b w:val="0"/>
            <w:sz w:val="20"/>
          </w:rPr>
          <w:t>ITIL 4 Foundations</w:t>
        </w:r>
      </w:hyperlink>
      <w:r>
        <w:rPr>
          <w:rFonts w:ascii="Verdana" w:eastAsia="Verdana" w:hAnsi="Verdana" w:cs="Verdana"/>
          <w:b w:val="0"/>
          <w:sz w:val="20"/>
        </w:rPr>
        <w:t xml:space="preserve"> passed the ITIL 4 Foundation examination prior to attending this course.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ITIL training students receive comprehensive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Copyright</w:t>
      </w:r>
      <w:r>
        <w:rPr>
          <w:rFonts w:ascii="Verdana" w:eastAsia="Verdana" w:hAnsi="Verdana" w:cs="Verdana"/>
          <w:b w:val="0"/>
          <w:sz w:val="20"/>
          <w:vertAlign w:val="superscript"/>
        </w:rPr>
        <w:t>©</w:t>
      </w:r>
      <w:r>
        <w:rPr>
          <w:rFonts w:ascii="Verdana" w:eastAsia="Verdana" w:hAnsi="Verdana" w:cs="Verdana"/>
          <w:b w:val="0"/>
          <w:sz w:val="20"/>
        </w:rPr>
        <w:t> Deep Creek Center</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for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Plan and build customer journeys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and manage relationships with customers and suppliers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Shape demand and define service offerings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and Implement Onboarding and Offboarding Plans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to Elevate Mutual Capabilities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“moments of truth”</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Realize and Validate Service Value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Designing a Customer Journey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Fostering Stakeholder Relationships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Mutual Readiness and Maturity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Supplier/Partner Relationship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Developing Customer Relationships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Shaping Service Demand and Defining Service Offerings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Digital Service Experiences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Value-driven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Data-driven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User-centered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Selling and procuring service offerings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Onboarding and Offboarding Customers and Users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Transition Activities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Fostering User Relationships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 Authorization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Mutual Elevation of Capabilities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Preparing Onboarding and Offboarding Plans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 Engagement and Delivery Channels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Co-Creation of Value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Requesting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Feedback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Moments of Truth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itil-4-foundations"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