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Git Fundamentals for Engineers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GIT-110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Git Fundamentals for Engineers training course teaches attendees how to use Git at a fundamental level and includes plenty of hands-on exercises managing repositories, creating and merging branches, properly backing out of mistakes, and getting comfortable resolving conflicts. This course gives students a solid grasp of how Git works, helping reduce the typical “fear of blowing something up” in a Git project. Students consistently complete the class with a very high level of confidence with Git.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Git course can use the repository hosting platform of your choice, such as GitHub, GitLab, BitBucket, or Azure DevOps. Students will learn how to leverage such a platform to share changes, synchronize their branches, collaborate through pull/merge requests, review code, and other collaboration best practices.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with Git is presumed.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experience with other version control systems is helpful but not required.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the command-line or DOS command prompt is preferred.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Git training attendees receive comprehensive course materials.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2.x or later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 for all attendees and the instructor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will: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Git and Git fundamentals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and edit the commit history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your daily workflow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Branch, merge, and use remote repositories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collaboration best practices as a team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 able to apply their Git knowledge to a pre-selected Git platform (GitHub, etc)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Source Code Management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Core Principles of Change Management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Power to Undo Changes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Audit Trails and Investigations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Reproducible Software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Git Introduction and Basics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Git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Trees and Commits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Git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Adding, Renaming, and Removing Files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Reviewing and Editing the Commit History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the Commit History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Revision Shortcuts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Fixing Mistakes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Improving Your Daily Workflow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Simplifying Common Commands with Aliases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Ignoring Build Artifacts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Changes for Later Use (Stashing)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Branching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Branching Basics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Listing Differences Between Branches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Visualizing Branches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Branches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Tagging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Merging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Basics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Merge Conflicts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Remote Branches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Remote Repositories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Repositories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Synchronizing Objects with Remotes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Tracking Branches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branch management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Forking and working with upstreams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Rolling back changes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Collaboration Through a Platform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GitHub/GitLab/BitBucket/Azure DevOps (choose one)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Hosting Git Repositories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Daily Workflow, ex: GitLab Flow or GitHub Flow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pull/merge requests and code reviews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Forks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Releases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History Management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Rebasing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the log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Cherry picking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Squashing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Bisecting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workflows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Workflows/Best Practices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 strategies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strategies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Tagging strategies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Repairing Branches Mastering History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Reset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Reflog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