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Designing and Implementing Microsoft Azure Networking Solutions (AZ-700)</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MOC-AZ-700</w:t>
        <w:br/>
      </w:r>
      <w:r>
        <w:rPr>
          <w:rFonts w:ascii="Verdana" w:eastAsia="Verdana" w:hAnsi="Verdana" w:cs="Verdana"/>
          <w:b/>
          <w:sz w:val="17"/>
        </w:rPr>
        <w:t xml:space="preserve">Duration: </w:t>
      </w:r>
      <w:r>
        <w:rPr>
          <w:rFonts w:ascii="Verdana" w:eastAsia="Verdana" w:hAnsi="Verdana" w:cs="Verdana"/>
          <w:b w:val="0"/>
          <w:sz w:val="17"/>
        </w:rPr>
        <w:t>3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This Microsoft Official Course, Designing and Implementing Microsoft Azure Networking Solutions (AZ-700), teaches attendees how to design, implement, and manage core Azure networking infrastructure. Students learn how to establish hybrid connectivity, routing, private access to Azure services, and monitoring in Azure. This course prepares students for the </w:t>
      </w:r>
      <w:hyperlink r:id="rId5" w:tgtFrame="_blank" w:history="1">
        <w:r>
          <w:rPr>
            <w:rFonts w:ascii="Verdana" w:eastAsia="Verdana" w:hAnsi="Verdana" w:cs="Verdana"/>
            <w:b w:val="0"/>
            <w:sz w:val="20"/>
          </w:rPr>
          <w:t>AZ-700 exam</w:t>
        </w:r>
      </w:hyperlink>
      <w:r>
        <w:rPr>
          <w:rFonts w:ascii="Verdana" w:eastAsia="Verdana" w:hAnsi="Verdana" w:cs="Verdana"/>
          <w:b w:val="0"/>
          <w:sz w:val="20"/>
        </w:rPr>
        <w:t xml:space="preserve"> for which every attendee receives a voucher.</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 xml:space="preserve">All students must have taken </w:t>
      </w:r>
      <w:hyperlink r:id="rId6" w:tgtFrame="_blank" w:history="1">
        <w:r>
          <w:rPr>
            <w:rFonts w:ascii="Verdana" w:eastAsia="Verdana" w:hAnsi="Verdana" w:cs="Verdana"/>
            <w:b w:val="0"/>
            <w:sz w:val="20"/>
          </w:rPr>
          <w:t>Designing and Implementing Microsoft DevOps Solutions (AZ-400)</w:t>
        </w:r>
      </w:hyperlink>
      <w:r>
        <w:rPr>
          <w:rFonts w:ascii="Verdana" w:eastAsia="Verdana" w:hAnsi="Verdana" w:cs="Verdana"/>
          <w:b w:val="0"/>
          <w:sz w:val="20"/>
        </w:rPr>
        <w:t xml:space="preserve"> or have the equivalent experience in enterprise networking, on-premises or cloud infrastructure, and network security, including having an understanding of:</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On-premises virtualization technologies, including VMs, virtual networking, and virtual hard disks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Network configurations, including TCP/IP, Domain Name System (DNS), virtual private networks (VPNs), firewalls, and encryption technologies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Software defined networking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Hybrid network connectivity methods, such as VPN</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Resilience and disaster recovery, including high availability and restore operations</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Microsoft Azure training students receive Microsoft official courseware.</w:t>
      </w:r>
    </w:p>
    <w:p w:rsidR="00A77B3E">
      <w:pPr>
        <w:keepNext w:val="0"/>
        <w:spacing w:before="0" w:after="0"/>
        <w:rPr>
          <w:rFonts w:ascii="Verdana" w:eastAsia="Verdana" w:hAnsi="Verdana" w:cs="Verdana"/>
          <w:b w:val="0"/>
          <w:sz w:val="20"/>
        </w:rPr>
      </w:pPr>
      <w:r>
        <w:rPr>
          <w:rFonts w:ascii="Verdana" w:eastAsia="Verdana" w:hAnsi="Verdana" w:cs="Verdana"/>
          <w:b w:val="0"/>
          <w:sz w:val="20"/>
        </w:rPr>
        <w:t>For all Microsoft Official Courses taught in their entirety that have a corresponding certification exam, an exam voucher is included for each participant.</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Attendees will not need to install any software on their computers for this class. The class will be conducted in a remote environment that Accelebrate will provide; students will only need a local computer with a web browser and a stable Internet connection. Any recent version of Microsoft Edge, Mozilla Firefox, or Google Chrome will work well.</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Design, implement, and maintain Azure networking solutions.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Understand the core Azure networking infrastructure,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Work with Hybrid Networking connections, load-balancing traffic, and network routing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Leverage private access to Azure services network security</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Monitor Azure networking solutions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Design and implement a secure, reliable network infrastructure in Azure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Establish hybrid connectivity, routing, and private access</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 to Azure Virtual Networks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Design and implement hybrid networking</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Design and implement Azure ExpressRoute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Load balance non-HTTP(S) traffic in Azure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Load balance HTTP(S) traffic in Azure</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Design and implement network security</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Design and implement private access to Azure Services</w:t>
      </w:r>
    </w:p>
    <w:p w:rsidR="00A77B3E">
      <w:pPr>
        <w:keepNext w:val="0"/>
        <w:numPr>
          <w:ilvl w:val="0"/>
          <w:numId w:val="3"/>
        </w:numPr>
        <w:spacing w:before="0" w:after="0"/>
        <w:ind w:left="720" w:hanging="360"/>
        <w:jc w:val="left"/>
        <w:rPr>
          <w:rFonts w:ascii="Verdana" w:eastAsia="Verdana" w:hAnsi="Verdana" w:cs="Verdana"/>
          <w:b w:val="0"/>
          <w:sz w:val="20"/>
        </w:rPr>
      </w:pPr>
      <w:r>
        <w:rPr>
          <w:rFonts w:ascii="Verdana" w:eastAsia="Verdana" w:hAnsi="Verdana" w:cs="Verdana"/>
          <w:b w:val="0"/>
          <w:sz w:val="20"/>
        </w:rPr>
        <w:t>Design and implement network monitoring</w:t>
      </w:r>
    </w:p>
    <w:p w:rsidR="00A77B3E">
      <w:pPr>
        <w:keepNext w:val="0"/>
        <w:spacing w:before="200" w:after="200"/>
        <w:rPr>
          <w:rFonts w:ascii="Verdana" w:eastAsia="Verdana" w:hAnsi="Verdana" w:cs="Verdana"/>
          <w:b w:val="0"/>
          <w:sz w:val="20"/>
        </w:rPr>
      </w:pPr>
    </w:p>
    <w:sectPr>
      <w:footerReference w:type="default" r:id="rId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docs.microsoft.com/en-us/learn/certifications/exams/AZ-700" TargetMode="External" /><Relationship Id="rId6" Type="http://schemas.openxmlformats.org/officeDocument/2006/relationships/hyperlink" Target="file:////training/designing-and-implementing-microsoft-devops-solutions"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