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Intelligent Automation for Executives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RPA-130</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Automation Overview training course provides executives with an overview of how intelligent automation works and what it can do for their organizations. The class is taught using use cases and real-life examples.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also learn about Robotic Process Automation (RPA) in general, intelligent document processing, human-bot collaboration, analytics, and the latest process discovery solutions. Attendees also explore how artificial intelligence (AI) and machine learning (ML) further enhance automation projects with data analysis.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Maximum attendance for this class is 5 attendees instead of Accelebrate’s standard maximum of 15.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Automation Anywhere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class is conducted in a remote lab environment that Accelebrate provides.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desktop or laptop is needed (no tablets).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Students make an RDP connection to an externally hosted machine (this can be tested before the training).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Zoom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email with detailed instructions to check your connection is sent in advance.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gain a greater understanding of intelligent automation and the capabilities of RPA and AI tools.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Traditional RPA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RPA and Cognitive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 automation software offerings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Administration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Intelligent document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discovery and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Human-bot collaboration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Analytics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Beyond RPA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and artificial intelligence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ML/AI and RPA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Q&amp;A</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