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The Agile Governance Plan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AGL-202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Governance training course teaches attendees how to establish and maintain a framework to ensure that the Agile architecture meets the needs of their organization. This Agile course teaches students how to use the emerging Agile architecture governance frameworks, fulfill Agile architecture principles, and develop and implement Agile architecture governance adoption/improvement plans.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Attendees should have taken Accelebrate's </w:t>
      </w:r>
      <w:hyperlink r:id="rId5" w:history="1">
        <w:r>
          <w:rPr>
            <w:rFonts w:ascii="Verdana" w:eastAsia="Verdana" w:hAnsi="Verdana" w:cs="Verdana"/>
            <w:b w:val="0"/>
            <w:sz w:val="20"/>
          </w:rPr>
          <w:t>Agile Solution Architecture</w:t>
        </w:r>
      </w:hyperlink>
      <w:r>
        <w:rPr>
          <w:rFonts w:ascii="Verdana" w:eastAsia="Verdana" w:hAnsi="Verdana" w:cs="Verdana"/>
          <w:b w:val="0"/>
          <w:sz w:val="20"/>
        </w:rPr>
        <w:t xml:space="preserve"> course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can provide a remote lab environment for this class.  All attendees should have computers with Internet access and a modern web browser (ideally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Agile architecture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Agile architecture stakeholders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Agile architecture governance plan for continued success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Architecture Requirements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dealing with ongoing requirements intake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Supporting emerging design with incremental, intentional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Architecture Stakeholder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management with a focus on composition strategies to address enterprise realities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Strategies to better negotiate schedules and budgets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Architecture Governance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emerging Agile architecture governance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Fulfilling Agile architecture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architecture governance adoption/improvement plans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gile-solution-architecture"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