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for Developers training teaches intermediate and advanced object-oriented developers the practices of Agile and Scrum and how to integrate those methodologies into daily development.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Although there are no prerequisites for this class, students should be experienced with at least one object-oriented programming language. The course materials are presented in a language-agnostic manner, but object-oriented design principles are discussed.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By the end of the course, students will be able to effectively use the practices and discipline of Agile and Scrum to create more reliable, scalable, and adaptable code.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and Scrum Overview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Potential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Agile alone is NOT enough</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Can Scrum fail?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Positional Agile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Aces In Their Places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Games Product Owners Play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Requirements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Giving Up Hope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Change Happens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Why Object Oriented Principles Are Critical To Agile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First Principles of Object Oriented Programming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Object Oriented Programming for Business People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OO Design For Mere Mortals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OO Judo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UML Essentials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Trifecta - OO, UML and Agile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Class Diagrams - Turning Straw Into Gold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Project overview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Telling Smaller Lies</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Saying No</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Saying Yes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Sprint Planning Meeting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Just Enough...and no more</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Controlling Chaos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Sprint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Sense Of Urgency</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Driving Your Project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Conducting the Daily Scrum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Chickens and Pigs</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Life Is...Daily!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Doing Iterative Development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Design</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Test</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Code</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Refactor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Tricks Developers Play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Sprint Review Meeting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The Best Agile for YOU</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The Internal Consultant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Planning as you go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Information Radiators</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Velocity</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Watching The Horizon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Scaling with Scrum </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Team sizes and break down</w:t>
      </w:r>
    </w:p>
    <w:p w:rsidR="00A77B3E">
      <w:pPr>
        <w:keepNext w:val="0"/>
        <w:numPr>
          <w:ilvl w:val="2"/>
          <w:numId w:val="1"/>
        </w:numPr>
        <w:spacing w:before="0" w:after="0"/>
        <w:ind w:left="2160" w:hanging="360"/>
        <w:jc w:val="left"/>
        <w:rPr>
          <w:rFonts w:ascii="Verdana" w:eastAsia="Verdana" w:hAnsi="Verdana" w:cs="Verdana"/>
          <w:b w:val="0"/>
          <w:sz w:val="20"/>
        </w:rPr>
      </w:pPr>
      <w:r>
        <w:rPr>
          <w:rFonts w:ascii="Verdana" w:eastAsia="Verdana" w:hAnsi="Verdana" w:cs="Verdana"/>
          <w:b w:val="0"/>
          <w:sz w:val="20"/>
        </w:rPr>
        <w:t>Scrum of Scrums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Where to go from here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TDD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Acceptance Test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Pondering Patterns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