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Mature Agile Team Workshop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AGL-158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workshop is designed for Agile teams who have been practicing Agile for at least a year and want a deep dive session that explores the unique challenges they are facing at this stage of their maturity. The activities and topics covered are customized to each team with a goal of filling the immediate gaps.</w:t>
      </w:r>
    </w:p>
    <w:p w:rsidR="00A77B3E">
      <w:pPr>
        <w:keepNext w:val="0"/>
        <w:spacing w:before="0" w:after="0"/>
        <w:rPr>
          <w:rFonts w:ascii="Verdana" w:eastAsia="Verdana" w:hAnsi="Verdana" w:cs="Verdana"/>
          <w:b w:val="0"/>
          <w:sz w:val="20"/>
        </w:rPr>
      </w:pPr>
      <w:r>
        <w:rPr>
          <w:rFonts w:ascii="Verdana" w:eastAsia="Verdana" w:hAnsi="Verdana" w:cs="Verdana"/>
          <w:b w:val="0"/>
          <w:sz w:val="20"/>
        </w:rPr>
        <w:t>This workshop includes the Agile Maturity Model team assessment so that the team and coach have clear visibility into their top strengths, gaps and growth areas. This workshop is completely customized to fit your team’s needs.</w:t>
      </w:r>
    </w:p>
    <w:p w:rsidR="00A77B3E">
      <w:pPr>
        <w:keepNext w:val="0"/>
        <w:spacing w:before="0" w:after="0"/>
        <w:rPr>
          <w:rFonts w:ascii="Verdana" w:eastAsia="Verdana" w:hAnsi="Verdana" w:cs="Verdana"/>
          <w:b w:val="0"/>
          <w:sz w:val="20"/>
        </w:rPr>
      </w:pPr>
      <w:r>
        <w:rPr>
          <w:rFonts w:ascii="Verdana" w:eastAsia="Verdana" w:hAnsi="Verdana" w:cs="Verdana"/>
          <w:b w:val="0"/>
          <w:sz w:val="20"/>
        </w:rPr>
        <w:t>You use YOUR own team’s challenges throughout the course. At the end of this course, the team develops an actionable growth plan to move to the next level of maturity.</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course is capped at 1 team of 9 people, and includes 2 instructors.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 Advanced Agile training is intended to fine-tune the processes that your teams are already running. Therefore, attendees should include all Scrum team members, including Scrum masters, product owners, development teams, QA, and others.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Improve clarity regarding the roles and expectations of the team and their leadership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methods for improving estimating and planning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Improve pre-planning activities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Dig deeper into team dynamic and ‘layer below the surface’ issues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Identifying solutions to common team allocation and multitasking problems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Identifying key skill gaps within the team and developing a skills roadmap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alignment and common understanding of the Agile lifecycle end-to-end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Identifying key Agile engineering gaps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Learning about stable teams and how work should flow through to the teams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Assessment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Individual Members Respond to the Online Agile Maturity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 Results – Strengths Weakness Opportunities and Threats Team Assessment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Root Causes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 and Prioritize Items to Address in Workshop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Team Learning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Discussions and Exercises to Address Items Identified During Assessment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Changes to Process and/or Team Behaviors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SMART Objectives for Next 90 Days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